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jc w:val="center"/>
        <w:rPr>
          <w:rFonts w:ascii="Verdana" w:eastAsia="Times New Roman" w:hAnsi="Verdana" w:cs="Arial"/>
          <w:b/>
          <w:bCs/>
          <w:color w:val="954812"/>
          <w:sz w:val="16"/>
          <w:szCs w:val="16"/>
        </w:rPr>
      </w:pPr>
      <w:proofErr w:type="spellStart"/>
      <w:r w:rsidRPr="00FE072C">
        <w:rPr>
          <w:rFonts w:ascii="Verdana" w:eastAsia="Times New Roman" w:hAnsi="Verdana" w:cs="Arial"/>
          <w:b/>
          <w:bCs/>
          <w:color w:val="954812"/>
          <w:sz w:val="16"/>
        </w:rPr>
        <w:t>Family</w:t>
      </w:r>
      <w:proofErr w:type="spellEnd"/>
      <w:r w:rsidRPr="00FE072C">
        <w:rPr>
          <w:rFonts w:ascii="Verdana" w:eastAsia="Times New Roman" w:hAnsi="Verdana" w:cs="Arial"/>
          <w:b/>
          <w:bCs/>
          <w:color w:val="954812"/>
          <w:sz w:val="16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954812"/>
          <w:sz w:val="16"/>
        </w:rPr>
        <w:t>Involvement</w:t>
      </w:r>
      <w:proofErr w:type="spellEnd"/>
    </w:p>
    <w:p w:rsidR="00FE072C" w:rsidRPr="00FE072C" w:rsidRDefault="00FE072C" w:rsidP="00FE072C">
      <w:pPr>
        <w:shd w:val="clear" w:color="auto" w:fill="E1E1E1"/>
        <w:spacing w:before="100" w:beforeAutospacing="1" w:after="100" w:afterAutospacing="1" w:line="240" w:lineRule="auto"/>
        <w:ind w:left="300" w:right="300"/>
        <w:jc w:val="center"/>
        <w:rPr>
          <w:rFonts w:ascii="Verdana" w:eastAsia="Times New Roman" w:hAnsi="Verdana" w:cs="Times New Roman"/>
          <w:b/>
          <w:bCs/>
          <w:color w:val="954812"/>
          <w:sz w:val="16"/>
          <w:szCs w:val="16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i/>
          <w:iCs/>
          <w:color w:val="954812"/>
          <w:sz w:val="16"/>
        </w:rPr>
        <w:t>Getting</w:t>
      </w:r>
      <w:proofErr w:type="spellEnd"/>
      <w:r w:rsidRPr="00FE072C">
        <w:rPr>
          <w:rFonts w:ascii="Verdana" w:eastAsia="Times New Roman" w:hAnsi="Verdana" w:cs="Times New Roman"/>
          <w:b/>
          <w:bCs/>
          <w:i/>
          <w:iCs/>
          <w:color w:val="954812"/>
          <w:sz w:val="16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i/>
          <w:iCs/>
          <w:color w:val="954812"/>
          <w:sz w:val="16"/>
        </w:rPr>
        <w:t>Started</w:t>
      </w:r>
      <w:proofErr w:type="spellEnd"/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r>
        <w:rPr>
          <w:rFonts w:ascii="Verdana" w:eastAsia="Times New Roman" w:hAnsi="Verdana" w:cs="Times New Roman"/>
          <w:noProof/>
          <w:color w:val="141040"/>
          <w:sz w:val="10"/>
          <w:szCs w:val="10"/>
        </w:rPr>
        <w:drawing>
          <wp:inline distT="0" distB="0" distL="0" distR="0">
            <wp:extent cx="711200" cy="723900"/>
            <wp:effectExtent l="19050" t="0" r="0" b="0"/>
            <wp:docPr id="1" name="Obraz 1" descr="https://adai.uw.edu/retentiontoolkit/images/getstar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ai.uw.edu/retentiontoolkit/images/getstart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Families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often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want to help, but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don't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know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what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to do.</w:t>
      </w:r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Educate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families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friends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 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keep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them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informed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(as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appropriate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) so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they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know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what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expect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how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offer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support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.</w:t>
      </w:r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Offer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to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give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tour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facility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 </w:t>
      </w: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answer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questions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.</w:t>
      </w:r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Invite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members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friends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 </w:t>
      </w: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client's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first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apointment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(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their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permission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).</w:t>
      </w:r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Offer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a</w:t>
      </w:r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direct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phone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line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 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your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program.</w:t>
      </w:r>
    </w:p>
    <w:p w:rsidR="00FE072C" w:rsidRPr="00FE072C" w:rsidRDefault="00FE072C" w:rsidP="00FE072C">
      <w:pPr>
        <w:numPr>
          <w:ilvl w:val="0"/>
          <w:numId w:val="1"/>
        </w:numPr>
        <w:shd w:val="clear" w:color="auto" w:fill="E1E1E1"/>
        <w:spacing w:before="100" w:beforeAutospacing="1" w:after="100" w:afterAutospacing="1" w:line="240" w:lineRule="auto"/>
        <w:ind w:left="-50"/>
        <w:rPr>
          <w:rFonts w:ascii="Verdana" w:eastAsia="Times New Roman" w:hAnsi="Verdana" w:cs="Times New Roman"/>
          <w:color w:val="141040"/>
          <w:sz w:val="10"/>
          <w:szCs w:val="10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Ask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local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businesses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if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they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donate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small</w:t>
      </w:r>
      <w:proofErr w:type="spellEnd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141040"/>
          <w:sz w:val="10"/>
        </w:rPr>
        <w:t>items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 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incentives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.</w:t>
      </w:r>
    </w:p>
    <w:p w:rsidR="00FE072C" w:rsidRPr="00FE072C" w:rsidRDefault="00FE072C" w:rsidP="00FE072C">
      <w:pPr>
        <w:shd w:val="clear" w:color="auto" w:fill="E1E1E1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141040"/>
          <w:sz w:val="10"/>
          <w:szCs w:val="10"/>
        </w:rPr>
      </w:pP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(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Adapted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from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 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instrText xml:space="preserve"> HYPERLINK "https://niatx.net/" </w:instrText>
      </w: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NIATx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  <w:szCs w:val="10"/>
        </w:rPr>
        <w:t>.)</w:t>
      </w:r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r>
        <w:rPr>
          <w:rFonts w:ascii="Verdana" w:eastAsia="Times New Roman" w:hAnsi="Verdana" w:cs="Times New Roman"/>
          <w:b/>
          <w:bCs/>
          <w:noProof/>
          <w:color w:val="400040"/>
          <w:sz w:val="14"/>
          <w:szCs w:val="14"/>
        </w:rPr>
        <w:drawing>
          <wp:inline distT="0" distB="0" distL="0" distR="0">
            <wp:extent cx="2216150" cy="1885950"/>
            <wp:effectExtent l="19050" t="0" r="0" b="0"/>
            <wp:docPr id="2" name="Obraz 2" descr="https://adai.uw.edu/retentiontoolkit/images/family-179116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ai.uw.edu/retentiontoolkit/images/family-1791161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Substance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use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affects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everyone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so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it's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important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involved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process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adults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In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most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patients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engage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because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 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positive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involvement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intervention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Engaging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 single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member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"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concerned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significant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other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"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be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enough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strengthen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whole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system,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reinforcing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motivating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change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client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helping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fully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engaged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their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process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1,5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members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can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be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involved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by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:</w:t>
      </w:r>
    </w:p>
    <w:p w:rsidR="00FE072C" w:rsidRPr="00FE072C" w:rsidRDefault="00FE072C" w:rsidP="00FE072C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Verdana" w:eastAsia="Times New Roman" w:hAnsi="Verdana" w:cs="Times New Roman"/>
          <w:color w:val="141040"/>
          <w:sz w:val="12"/>
          <w:szCs w:val="12"/>
        </w:rPr>
      </w:pP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Learning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about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program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process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,</w:t>
      </w:r>
    </w:p>
    <w:p w:rsidR="00FE072C" w:rsidRPr="00FE072C" w:rsidRDefault="00FE072C" w:rsidP="00FE072C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Participating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intake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planning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,</w:t>
      </w:r>
    </w:p>
    <w:p w:rsidR="00FE072C" w:rsidRPr="00FE072C" w:rsidRDefault="00FE072C" w:rsidP="00FE072C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Sharing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learning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process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/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lessons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,</w:t>
      </w:r>
    </w:p>
    <w:p w:rsidR="00FE072C" w:rsidRPr="00FE072C" w:rsidRDefault="00FE072C" w:rsidP="00FE072C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Attending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groups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appointments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(as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appropriate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), and</w:t>
      </w:r>
    </w:p>
    <w:p w:rsidR="00FE072C" w:rsidRPr="00FE072C" w:rsidRDefault="00FE072C" w:rsidP="00FE072C">
      <w:pPr>
        <w:numPr>
          <w:ilvl w:val="0"/>
          <w:numId w:val="2"/>
        </w:numPr>
        <w:spacing w:before="100" w:beforeAutospacing="1" w:after="100" w:afterAutospacing="1" w:line="240" w:lineRule="auto"/>
        <w:ind w:lef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Encouraging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supporting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gentle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non-judgmental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manner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9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In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best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circumstances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families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find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difficult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adjust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along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person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behaving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differently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before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needs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support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Even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after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begins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other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continue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unhealthy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behavior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patterns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therapy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can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help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as a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whole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heal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Each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be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adjusting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changes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starting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deal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past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conflicts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establishing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new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routines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help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each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make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specific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positive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changes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help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whole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heal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from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effects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disorders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pBdr>
          <w:bottom w:val="single" w:sz="4" w:space="0" w:color="755755"/>
        </w:pBd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b/>
          <w:bCs/>
          <w:color w:val="755755"/>
          <w:sz w:val="14"/>
          <w:szCs w:val="14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755755"/>
          <w:sz w:val="14"/>
          <w:szCs w:val="14"/>
        </w:rPr>
        <w:t>Children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755755"/>
          <w:sz w:val="14"/>
          <w:szCs w:val="14"/>
        </w:rPr>
        <w:t xml:space="preserve"> &amp;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755755"/>
          <w:sz w:val="14"/>
          <w:szCs w:val="14"/>
        </w:rPr>
        <w:t>Teens</w:t>
      </w:r>
      <w:proofErr w:type="spellEnd"/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r>
        <w:rPr>
          <w:rFonts w:ascii="Verdana" w:eastAsia="Times New Roman" w:hAnsi="Verdana" w:cs="Times New Roman"/>
          <w:b/>
          <w:bCs/>
          <w:noProof/>
          <w:color w:val="755755"/>
          <w:sz w:val="14"/>
          <w:szCs w:val="14"/>
        </w:rPr>
        <w:lastRenderedPageBreak/>
        <w:drawing>
          <wp:inline distT="0" distB="0" distL="0" distR="0">
            <wp:extent cx="1257300" cy="1670050"/>
            <wp:effectExtent l="19050" t="0" r="0" b="0"/>
            <wp:docPr id="3" name="Obraz 3" descr="https://adai.uw.edu/retentiontoolkit/images/te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ai.uw.edu/retentiontoolkit/images/teen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Families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alcohol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other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drug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problems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usually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have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high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levels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stress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confusion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Highly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stressed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environments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are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risk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factor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early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risky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substance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well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mental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physical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health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problems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It's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important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talk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children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about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happening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help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express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their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concerns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feelings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Children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need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trust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adults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their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lives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believe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those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adults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will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support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Children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living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with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alcohol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or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drug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abuse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 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benefit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from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participating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educational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support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groups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school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student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assistance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programs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In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addition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plays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key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role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both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preventing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intervening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youth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substance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and misuse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10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especially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increase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risk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promote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resilience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prevent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depending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relative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health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/s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involvement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child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10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br/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br/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Healthy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parental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involvement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adolescents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'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disorder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strengthens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relationship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between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parent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(s)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teen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increases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adolescent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self-disclosure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results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greater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reduction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adolescent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use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7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Furthermore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be an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effective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adolescent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improve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retention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engagement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youths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treatment</w:t>
      </w:r>
      <w:r w:rsidRPr="00FE072C">
        <w:rPr>
          <w:rFonts w:ascii="Verdana" w:eastAsia="Times New Roman" w:hAnsi="Verdana" w:cs="Times New Roman"/>
          <w:color w:val="141040"/>
          <w:sz w:val="9"/>
          <w:szCs w:val="9"/>
          <w:vertAlign w:val="superscript"/>
        </w:rPr>
        <w:t>8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before="100" w:beforeAutospacing="1" w:after="240" w:line="240" w:lineRule="auto"/>
        <w:ind w:left="200" w:right="20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i/>
          <w:iCs/>
          <w:color w:val="95092F"/>
          <w:sz w:val="13"/>
        </w:rPr>
        <w:t>Note</w:t>
      </w:r>
      <w:proofErr w:type="spellEnd"/>
      <w:r w:rsidRPr="00FE072C">
        <w:rPr>
          <w:rFonts w:ascii="Verdana" w:eastAsia="Times New Roman" w:hAnsi="Verdana" w:cs="Times New Roman"/>
          <w:b/>
          <w:bCs/>
          <w:i/>
          <w:iCs/>
          <w:color w:val="95092F"/>
          <w:sz w:val="13"/>
        </w:rPr>
        <w:t>: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 "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fldChar w:fldCharType="begin"/>
      </w:r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instrText xml:space="preserve"> HYPERLINK "https://adai.uw.edu/retentiontoolkit/talking.htm" </w:instrText>
      </w:r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fldChar w:fldCharType="separate"/>
      </w:r>
      <w:r w:rsidRPr="00FE072C">
        <w:rPr>
          <w:rFonts w:ascii="Verdana" w:eastAsia="Times New Roman" w:hAnsi="Verdana" w:cs="Times New Roman"/>
          <w:b/>
          <w:bCs/>
          <w:color w:val="755755"/>
          <w:sz w:val="13"/>
          <w:u w:val="single"/>
        </w:rPr>
        <w:t>Talking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755755"/>
          <w:sz w:val="13"/>
          <w:u w:val="single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755755"/>
          <w:sz w:val="13"/>
          <w:u w:val="single"/>
        </w:rPr>
        <w:t>Clients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fldChar w:fldCharType="end"/>
      </w:r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"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training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module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this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400040"/>
          <w:sz w:val="13"/>
        </w:rPr>
        <w:t>toolkit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contains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section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more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information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about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engaging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members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friends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be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>helpful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>both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>counselors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 xml:space="preserve"> and front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>desk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092F"/>
          <w:sz w:val="13"/>
        </w:rPr>
        <w:t>staff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 --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anyone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interacts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clients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regularly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agency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pBdr>
          <w:bottom w:val="single" w:sz="4" w:space="0" w:color="954812"/>
        </w:pBd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Two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success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stories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 xml:space="preserve"> (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from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 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fldChar w:fldCharType="begin"/>
      </w:r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instrText xml:space="preserve"> HYPERLINK "https://www.niatx.net/promising-practice/include-family-and-friends/" \t "_blank" </w:instrText>
      </w:r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fldChar w:fldCharType="separate"/>
      </w:r>
      <w:r w:rsidRPr="00FE072C">
        <w:rPr>
          <w:rFonts w:ascii="Verdana" w:eastAsia="Times New Roman" w:hAnsi="Verdana" w:cs="Times New Roman"/>
          <w:b/>
          <w:bCs/>
          <w:color w:val="755755"/>
          <w:sz w:val="14"/>
          <w:u w:val="single"/>
        </w:rPr>
        <w:t>NIATx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fldChar w:fldCharType="end"/>
      </w:r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)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color w:val="141040"/>
          <w:sz w:val="12"/>
          <w:szCs w:val="12"/>
        </w:rPr>
      </w:pPr>
      <w:r>
        <w:rPr>
          <w:rFonts w:ascii="Verdana" w:eastAsia="Times New Roman" w:hAnsi="Verdana" w:cs="Arial"/>
          <w:b/>
          <w:bCs/>
          <w:noProof/>
          <w:color w:val="141040"/>
          <w:sz w:val="12"/>
          <w:szCs w:val="12"/>
        </w:rPr>
        <w:drawing>
          <wp:inline distT="0" distB="0" distL="0" distR="0">
            <wp:extent cx="1295400" cy="514350"/>
            <wp:effectExtent l="19050" t="0" r="0" b="0"/>
            <wp:docPr id="4" name="Obraz 4" descr="https://adai.uw.edu/retentiontoolkit/images/gosn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ai.uw.edu/retentiontoolkit/images/gosnol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>Gosnold</w:t>
      </w:r>
      <w:proofErr w:type="spellEnd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 xml:space="preserve">, </w:t>
      </w:r>
      <w:proofErr w:type="spellStart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>Inc</w:t>
      </w:r>
      <w:proofErr w:type="spellEnd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>.</w: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Falmouth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Massachusetts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has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member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admissions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staff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greet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in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the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lobby</w: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greeter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explains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what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expect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answers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questions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and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instructs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friends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inform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counselor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if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client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wants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leave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.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Gosnold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offers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 handout for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providers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on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involving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(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begin"/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instrText xml:space="preserve"> HYPERLINK "https://www.niatx.net/wp-content/uploads/2021/04/GosnoldFamilyInformedEngagement.pdf" \t "_blank" </w:instrTex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separate"/>
      </w:r>
      <w:r w:rsidRPr="00FE072C">
        <w:rPr>
          <w:rFonts w:ascii="Verdana" w:eastAsia="Times New Roman" w:hAnsi="Verdana" w:cs="Arial"/>
          <w:color w:val="755755"/>
          <w:sz w:val="12"/>
          <w:u w:val="single"/>
        </w:rPr>
        <w:t>Becoming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Family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Informed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Family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Involved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end"/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), as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well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as a 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begin"/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instrText xml:space="preserve"> HYPERLINK "https://www.niatx.net/wp-content/uploads/2021/04/GosnoldFamilyHandout.pdf" \t "_blank" </w:instrTex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separate"/>
      </w:r>
      <w:r w:rsidRPr="00FE072C">
        <w:rPr>
          <w:rFonts w:ascii="Verdana" w:eastAsia="Times New Roman" w:hAnsi="Verdana" w:cs="Arial"/>
          <w:color w:val="755755"/>
          <w:sz w:val="12"/>
          <w:u w:val="single"/>
        </w:rPr>
        <w:t>fact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sheet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end"/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 and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training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program for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members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themselves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explaining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outs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process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color w:val="141040"/>
          <w:sz w:val="12"/>
          <w:szCs w:val="12"/>
        </w:rPr>
      </w:pPr>
      <w:r>
        <w:rPr>
          <w:rFonts w:ascii="Verdana" w:eastAsia="Times New Roman" w:hAnsi="Verdana" w:cs="Arial"/>
          <w:b/>
          <w:bCs/>
          <w:noProof/>
          <w:color w:val="141040"/>
          <w:sz w:val="12"/>
          <w:szCs w:val="12"/>
        </w:rPr>
        <w:drawing>
          <wp:inline distT="0" distB="0" distL="0" distR="0">
            <wp:extent cx="571500" cy="514350"/>
            <wp:effectExtent l="19050" t="0" r="0" b="0"/>
            <wp:docPr id="5" name="Obraz 5" descr="https://adai.uw.edu/retentiontoolkit/images/stepswo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ai.uw.edu/retentiontoolkit/images/stepswooster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 xml:space="preserve">STEPS </w:t>
      </w:r>
      <w:proofErr w:type="spellStart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>at</w:t>
      </w:r>
      <w:proofErr w:type="spellEnd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 xml:space="preserve"> Liberty Center</w: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Wooster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Ohio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found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clients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with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family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support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had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higher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completion</w:t>
      </w:r>
      <w:proofErr w:type="spellEnd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400040"/>
          <w:sz w:val="13"/>
        </w:rPr>
        <w:t>rates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. Of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clients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indicated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had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support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from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their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families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77.3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percent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completed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six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sessions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whereas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those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who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did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not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have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support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had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completion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rate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only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45.5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percent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.</w:t>
      </w:r>
    </w:p>
    <w:p w:rsidR="00FE072C" w:rsidRPr="00FE072C" w:rsidRDefault="00FE072C" w:rsidP="00FE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72C">
        <w:rPr>
          <w:rFonts w:ascii="Arial" w:eastAsia="Times New Roman" w:hAnsi="Arial" w:cs="Arial"/>
          <w:color w:val="222222"/>
          <w:sz w:val="13"/>
          <w:szCs w:val="13"/>
        </w:rPr>
        <w:br/>
      </w:r>
    </w:p>
    <w:p w:rsidR="00FE072C" w:rsidRPr="00FE072C" w:rsidRDefault="00FE072C" w:rsidP="00FE072C">
      <w:pPr>
        <w:pBdr>
          <w:bottom w:val="single" w:sz="4" w:space="0" w:color="954812"/>
        </w:pBd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</w:pPr>
      <w:r w:rsidRPr="00FE072C">
        <w:rPr>
          <w:rFonts w:ascii="Verdana" w:eastAsia="Times New Roman" w:hAnsi="Verdana" w:cs="Times New Roman"/>
          <w:b/>
          <w:bCs/>
          <w:color w:val="954812"/>
          <w:sz w:val="14"/>
        </w:rPr>
        <w:t>Resources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b/>
          <w:bCs/>
          <w:color w:val="755755"/>
          <w:sz w:val="14"/>
          <w:szCs w:val="14"/>
        </w:rPr>
      </w:pPr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 xml:space="preserve">For Staff and </w:t>
      </w:r>
      <w:proofErr w:type="spellStart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>Clinicians</w:t>
      </w:r>
      <w:proofErr w:type="spellEnd"/>
    </w:p>
    <w:p w:rsidR="00FE072C" w:rsidRPr="00FE072C" w:rsidRDefault="00FE072C" w:rsidP="00FE0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0" w:tgtFrame="_blank" w:history="1"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Washington DSHS DBHR Policy for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Programs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(pd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>f)</w:t>
      </w:r>
    </w:p>
    <w:p w:rsidR="00FE072C" w:rsidRPr="00FE072C" w:rsidRDefault="00FE072C" w:rsidP="00FE0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1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NIATx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Resources on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Including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and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Friends</w:t>
        </w:r>
        <w:proofErr w:type="spellEnd"/>
      </w:hyperlink>
    </w:p>
    <w:p w:rsidR="00FE072C" w:rsidRPr="00FE072C" w:rsidRDefault="00FE072C" w:rsidP="00FE0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2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Matrix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Intensive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Outpatient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Treatment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for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People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with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Stimulant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Use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Disorders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: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Counselor's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Education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Manual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with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CD</w:t>
        </w:r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 SAMHSA</w:t>
      </w:r>
    </w:p>
    <w:p w:rsidR="00FE072C" w:rsidRPr="00FE072C" w:rsidRDefault="00FE072C" w:rsidP="00FE0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3" w:tgtFrame="_blank" w:history="1"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TIP 39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Substance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Abuse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Treatment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And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Therapy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 SAMHSA</w:t>
      </w:r>
    </w:p>
    <w:p w:rsidR="00FE072C" w:rsidRPr="00FE072C" w:rsidRDefault="00FE072C" w:rsidP="00FE07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NAADAC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webinar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: 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begin"/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instrText xml:space="preserve"> HYPERLINK "https://www.naadac.org/including-family-and-community-in-the-recovery-process" \t "_blank" </w:instrText>
      </w:r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separate"/>
      </w:r>
      <w:r w:rsidRPr="00FE072C">
        <w:rPr>
          <w:rFonts w:ascii="Verdana" w:eastAsia="Times New Roman" w:hAnsi="Verdana" w:cs="Arial"/>
          <w:color w:val="755755"/>
          <w:sz w:val="12"/>
          <w:u w:val="single"/>
        </w:rPr>
        <w:t>Including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Family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and Community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in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the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Recovery</w:t>
      </w:r>
      <w:proofErr w:type="spellEnd"/>
      <w:r w:rsidRPr="00FE072C">
        <w:rPr>
          <w:rFonts w:ascii="Verdana" w:eastAsia="Times New Roman" w:hAnsi="Verdana" w:cs="Arial"/>
          <w:color w:val="755755"/>
          <w:sz w:val="12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755755"/>
          <w:sz w:val="12"/>
          <w:u w:val="single"/>
        </w:rPr>
        <w:t>Process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fldChar w:fldCharType="end"/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color w:val="141040"/>
          <w:sz w:val="12"/>
          <w:szCs w:val="12"/>
        </w:rPr>
      </w:pPr>
      <w:r w:rsidRPr="00FE072C">
        <w:rPr>
          <w:rFonts w:ascii="Verdana" w:eastAsia="Times New Roman" w:hAnsi="Verdana" w:cs="Arial"/>
          <w:color w:val="141040"/>
          <w:sz w:val="12"/>
          <w:szCs w:val="12"/>
        </w:rPr>
        <w:t>    </w:t>
      </w:r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 xml:space="preserve">SAMHSA </w:t>
      </w:r>
      <w:proofErr w:type="spellStart"/>
      <w:r w:rsidRPr="00FE072C">
        <w:rPr>
          <w:rFonts w:ascii="Verdana" w:eastAsia="Times New Roman" w:hAnsi="Verdana" w:cs="Arial"/>
          <w:b/>
          <w:bCs/>
          <w:color w:val="141040"/>
          <w:sz w:val="12"/>
        </w:rPr>
        <w:t>Webcasts</w:t>
      </w:r>
      <w:proofErr w:type="spellEnd"/>
    </w:p>
    <w:p w:rsidR="00FE072C" w:rsidRPr="00FE072C" w:rsidRDefault="00FE072C" w:rsidP="00FE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4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Building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Resiliency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: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Supporting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Recovery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September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2016</w:t>
      </w:r>
    </w:p>
    <w:p w:rsidR="00FE072C" w:rsidRPr="00FE072C" w:rsidRDefault="00FE072C" w:rsidP="00FE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5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Generational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Issues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Affecting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Recovery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: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From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Childhood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to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Grandparenthood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April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2016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b/>
          <w:bCs/>
          <w:color w:val="755755"/>
          <w:sz w:val="14"/>
          <w:szCs w:val="14"/>
        </w:rPr>
      </w:pPr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 xml:space="preserve">For </w:t>
      </w:r>
      <w:proofErr w:type="spellStart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>Clients</w:t>
      </w:r>
      <w:proofErr w:type="spellEnd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 xml:space="preserve"> and </w:t>
      </w:r>
      <w:proofErr w:type="spellStart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>Families</w:t>
      </w:r>
      <w:proofErr w:type="spellEnd"/>
    </w:p>
    <w:p w:rsidR="00FE072C" w:rsidRPr="00FE072C" w:rsidRDefault="00FE072C" w:rsidP="00FE07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6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Alcohol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and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Drug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Addiction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Happens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in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Best of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Families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 SAMHSA</w:t>
      </w:r>
    </w:p>
    <w:p w:rsidR="00FE072C" w:rsidRPr="00FE072C" w:rsidRDefault="00FE072C" w:rsidP="00FE07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7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Bring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Them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All</w:t>
        </w:r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documentary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on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family-centered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approach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addiction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Arial"/>
          <w:color w:val="141040"/>
          <w:sz w:val="12"/>
          <w:szCs w:val="12"/>
        </w:rPr>
        <w:t>. ATTC</w:t>
      </w:r>
    </w:p>
    <w:p w:rsidR="00FE072C" w:rsidRPr="00FE072C" w:rsidRDefault="00FE072C" w:rsidP="00FE07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8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Therapy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Can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Help - for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People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in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Recovery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from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Mental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Illness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or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Addiction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 SAMHSA</w:t>
      </w:r>
    </w:p>
    <w:p w:rsidR="00FE072C" w:rsidRPr="00FE072C" w:rsidRDefault="00FE072C" w:rsidP="00FE07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19" w:tgtFrame="_blank" w:history="1"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"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What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is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Substance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Abuse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Treatment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?" A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Booklet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for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Families</w:t>
        </w:r>
        <w:proofErr w:type="spellEnd"/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 SAMHSA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color w:val="141040"/>
          <w:sz w:val="12"/>
          <w:szCs w:val="12"/>
        </w:rPr>
      </w:pPr>
      <w:r w:rsidRPr="00FE072C">
        <w:rPr>
          <w:rFonts w:ascii="Verdana" w:eastAsia="Times New Roman" w:hAnsi="Verdana" w:cs="Arial"/>
          <w:color w:val="141040"/>
          <w:sz w:val="12"/>
          <w:szCs w:val="12"/>
        </w:rPr>
        <w:t> </w:t>
      </w:r>
    </w:p>
    <w:p w:rsidR="00FE072C" w:rsidRPr="00FE072C" w:rsidRDefault="00FE072C" w:rsidP="00FE072C">
      <w:pPr>
        <w:shd w:val="clear" w:color="auto" w:fill="FFFFFF"/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Arial"/>
          <w:b/>
          <w:bCs/>
          <w:color w:val="755755"/>
          <w:sz w:val="14"/>
          <w:szCs w:val="14"/>
        </w:rPr>
      </w:pPr>
      <w:proofErr w:type="spellStart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>Family-Focused</w:t>
      </w:r>
      <w:proofErr w:type="spellEnd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 xml:space="preserve"> </w:t>
      </w:r>
      <w:proofErr w:type="spellStart"/>
      <w:r w:rsidRPr="00FE072C">
        <w:rPr>
          <w:rFonts w:ascii="Verdana" w:eastAsia="Times New Roman" w:hAnsi="Verdana" w:cs="Arial"/>
          <w:b/>
          <w:bCs/>
          <w:color w:val="755755"/>
          <w:sz w:val="14"/>
        </w:rPr>
        <w:t>Interventions</w:t>
      </w:r>
      <w:proofErr w:type="spellEnd"/>
    </w:p>
    <w:p w:rsidR="00FE072C" w:rsidRPr="00FE072C" w:rsidRDefault="00FE072C" w:rsidP="00FE072C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r>
        <w:rPr>
          <w:rFonts w:ascii="Verdana" w:eastAsia="Times New Roman" w:hAnsi="Verdana" w:cs="Arial"/>
          <w:noProof/>
          <w:color w:val="755755"/>
          <w:sz w:val="12"/>
          <w:szCs w:val="12"/>
        </w:rPr>
        <w:drawing>
          <wp:inline distT="0" distB="0" distL="0" distR="0">
            <wp:extent cx="476250" cy="622300"/>
            <wp:effectExtent l="19050" t="0" r="0" b="0"/>
            <wp:docPr id="6" name="Obraz 6" descr="BSFT Manual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FT Manual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Adolescent Community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Reinforcement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Approach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(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A-CRA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)</w:t>
        </w:r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 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This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cognitive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behavioral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approach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to adolescent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for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substance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abuse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focuses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on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techniques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support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individual's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recovery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by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increasing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social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and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educational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>/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vocational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reinforcers</w:t>
      </w:r>
      <w:r w:rsidRPr="00FE072C">
        <w:rPr>
          <w:rFonts w:ascii="Verdana" w:eastAsia="Times New Roman" w:hAnsi="Verdana" w:cs="Arial"/>
          <w:color w:val="141040"/>
          <w:sz w:val="8"/>
          <w:vertAlign w:val="superscript"/>
        </w:rPr>
        <w:t>2</w:t>
      </w:r>
      <w:r w:rsidRPr="00FE072C">
        <w:rPr>
          <w:rFonts w:ascii="Verdana" w:eastAsia="Times New Roman" w:hAnsi="Verdana" w:cs="Arial"/>
          <w:color w:val="141040"/>
          <w:sz w:val="10"/>
        </w:rPr>
        <w:t xml:space="preserve">.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was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selected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by NIDA for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3rd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edition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(2012) of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its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well-regarded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booklet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>, "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Principles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Drug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Addiction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: A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Research-Based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Guide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>."</w:t>
      </w:r>
    </w:p>
    <w:p w:rsidR="00FE072C" w:rsidRPr="00FE072C" w:rsidRDefault="00FE072C" w:rsidP="00FE072C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hyperlink r:id="rId23" w:tgtFrame="_blank" w:history="1">
        <w:r>
          <w:rPr>
            <w:rFonts w:ascii="Verdana" w:eastAsia="Times New Roman" w:hAnsi="Verdana" w:cs="Arial"/>
            <w:noProof/>
            <w:color w:val="755755"/>
            <w:sz w:val="12"/>
            <w:szCs w:val="12"/>
          </w:rPr>
          <w:drawing>
            <wp:inline distT="0" distB="0" distL="0" distR="0">
              <wp:extent cx="495300" cy="692150"/>
              <wp:effectExtent l="19050" t="0" r="0" b="0"/>
              <wp:docPr id="7" name="Obraz 7" descr="BSFT Manual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BSFT Manual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Brief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Strategic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Therapy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(BSFT)</w:t>
        </w:r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 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This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evidence-based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intervention</w:t>
      </w:r>
      <w:r w:rsidRPr="00FE072C">
        <w:rPr>
          <w:rFonts w:ascii="Verdana" w:eastAsia="Times New Roman" w:hAnsi="Verdana" w:cs="Arial"/>
          <w:color w:val="141040"/>
          <w:sz w:val="8"/>
          <w:vertAlign w:val="superscript"/>
        </w:rPr>
        <w:t>3</w:t>
      </w:r>
      <w:r w:rsidRPr="00FE072C">
        <w:rPr>
          <w:rFonts w:ascii="Verdana" w:eastAsia="Times New Roman" w:hAnsi="Verdana" w:cs="Arial"/>
          <w:color w:val="141040"/>
          <w:sz w:val="10"/>
        </w:rPr>
        <w:t> 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uses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systems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approach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to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adolescent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drug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use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that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occurs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with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other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problem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behaviors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. A NIDA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Clinical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Trials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Network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study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found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BSFT was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significantly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more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effective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than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usual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engaging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and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retaining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members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and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improving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parent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reports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family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functioning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> </w:t>
      </w:r>
      <w:r w:rsidRPr="00FE072C">
        <w:rPr>
          <w:rFonts w:ascii="Verdana" w:eastAsia="Times New Roman" w:hAnsi="Verdana" w:cs="Arial"/>
          <w:color w:val="141040"/>
          <w:sz w:val="8"/>
          <w:vertAlign w:val="superscript"/>
        </w:rPr>
        <w:t>6</w:t>
      </w:r>
      <w:r w:rsidRPr="00FE072C">
        <w:rPr>
          <w:rFonts w:ascii="Verdana" w:eastAsia="Times New Roman" w:hAnsi="Verdana" w:cs="Arial"/>
          <w:color w:val="141040"/>
          <w:sz w:val="10"/>
        </w:rPr>
        <w:t xml:space="preserve">. BSFT was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selected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as an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official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NIDA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Therapy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Manual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as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well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as a SAMHSA Model Program.</w:t>
      </w:r>
    </w:p>
    <w:p w:rsidR="00FE072C" w:rsidRPr="00FE072C" w:rsidRDefault="00FE072C" w:rsidP="00FE07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Arial"/>
          <w:color w:val="141040"/>
          <w:sz w:val="12"/>
          <w:szCs w:val="12"/>
        </w:rPr>
      </w:pPr>
      <w:r>
        <w:rPr>
          <w:rFonts w:ascii="Verdana" w:eastAsia="Times New Roman" w:hAnsi="Verdana" w:cs="Arial"/>
          <w:noProof/>
          <w:color w:val="755755"/>
          <w:sz w:val="12"/>
          <w:szCs w:val="12"/>
        </w:rPr>
        <w:drawing>
          <wp:inline distT="0" distB="0" distL="0" distR="0">
            <wp:extent cx="476250" cy="622300"/>
            <wp:effectExtent l="19050" t="0" r="0" b="0"/>
            <wp:docPr id="8" name="Obraz 8" descr="BSFT Manual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SFT Manual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tgtFrame="_blank" w:history="1"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Family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Behavior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</w:t>
        </w:r>
        <w:proofErr w:type="spellStart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>Therapy</w:t>
        </w:r>
        <w:proofErr w:type="spellEnd"/>
        <w:r w:rsidRPr="00FE072C">
          <w:rPr>
            <w:rFonts w:ascii="Verdana" w:eastAsia="Times New Roman" w:hAnsi="Verdana" w:cs="Arial"/>
            <w:color w:val="755755"/>
            <w:sz w:val="12"/>
            <w:u w:val="single"/>
          </w:rPr>
          <w:t xml:space="preserve"> (FBT)</w:t>
        </w:r>
      </w:hyperlink>
      <w:r w:rsidRPr="00FE072C">
        <w:rPr>
          <w:rFonts w:ascii="Verdana" w:eastAsia="Times New Roman" w:hAnsi="Verdana" w:cs="Arial"/>
          <w:color w:val="141040"/>
          <w:sz w:val="12"/>
          <w:szCs w:val="12"/>
        </w:rPr>
        <w:t> - 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Selected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by NIDA for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their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"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Principles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Drug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Addiction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Treatment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"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guide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FBT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has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demonstrated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positive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results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both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adults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and adolescents</w:t>
      </w:r>
      <w:r w:rsidRPr="00FE072C">
        <w:rPr>
          <w:rFonts w:ascii="Verdana" w:eastAsia="Times New Roman" w:hAnsi="Verdana" w:cs="Arial"/>
          <w:color w:val="141040"/>
          <w:sz w:val="8"/>
          <w:vertAlign w:val="superscript"/>
        </w:rPr>
        <w:t>4</w:t>
      </w:r>
      <w:r w:rsidRPr="00FE072C">
        <w:rPr>
          <w:rFonts w:ascii="Verdana" w:eastAsia="Times New Roman" w:hAnsi="Verdana" w:cs="Arial"/>
          <w:color w:val="141040"/>
          <w:sz w:val="10"/>
        </w:rPr>
        <w:t xml:space="preserve">.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involves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the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patient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along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with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at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least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one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significant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other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, and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uses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combination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of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behavioral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contracting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and </w:t>
      </w:r>
      <w:proofErr w:type="spellStart"/>
      <w:r w:rsidRPr="00FE072C">
        <w:rPr>
          <w:rFonts w:ascii="Verdana" w:eastAsia="Times New Roman" w:hAnsi="Verdana" w:cs="Arial"/>
          <w:color w:val="141040"/>
          <w:sz w:val="10"/>
        </w:rPr>
        <w:t>contingency</w:t>
      </w:r>
      <w:proofErr w:type="spellEnd"/>
      <w:r w:rsidRPr="00FE072C">
        <w:rPr>
          <w:rFonts w:ascii="Verdana" w:eastAsia="Times New Roman" w:hAnsi="Verdana" w:cs="Arial"/>
          <w:color w:val="141040"/>
          <w:sz w:val="10"/>
        </w:rPr>
        <w:t xml:space="preserve"> management.</w:t>
      </w:r>
    </w:p>
    <w:p w:rsidR="00FE072C" w:rsidRPr="00FE072C" w:rsidRDefault="00FE072C" w:rsidP="00FE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72C">
        <w:rPr>
          <w:rFonts w:ascii="Arial" w:eastAsia="Times New Roman" w:hAnsi="Arial" w:cs="Arial"/>
          <w:color w:val="222222"/>
          <w:sz w:val="13"/>
          <w:szCs w:val="13"/>
        </w:rPr>
        <w:br/>
      </w:r>
    </w:p>
    <w:p w:rsidR="00FE072C" w:rsidRPr="00FE072C" w:rsidRDefault="00FE072C" w:rsidP="00FE072C">
      <w:pPr>
        <w:pBdr>
          <w:bottom w:val="single" w:sz="4" w:space="0" w:color="954812"/>
        </w:pBdr>
        <w:spacing w:before="100" w:beforeAutospacing="1" w:after="100" w:afterAutospacing="1" w:line="240" w:lineRule="auto"/>
        <w:ind w:left="200" w:right="200"/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</w:pP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  <w:t>References</w:t>
      </w:r>
      <w:proofErr w:type="spellEnd"/>
      <w:r w:rsidRPr="00FE072C"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  <w:t xml:space="preserve"> &amp; </w:t>
      </w:r>
      <w:proofErr w:type="spellStart"/>
      <w:r w:rsidRPr="00FE072C">
        <w:rPr>
          <w:rFonts w:ascii="Verdana" w:eastAsia="Times New Roman" w:hAnsi="Verdana" w:cs="Times New Roman"/>
          <w:b/>
          <w:bCs/>
          <w:color w:val="954812"/>
          <w:sz w:val="14"/>
          <w:szCs w:val="14"/>
        </w:rPr>
        <w:t>Readings</w:t>
      </w:r>
      <w:proofErr w:type="spellEnd"/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Meyers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RJ, Miller WR, Hill DA,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Tonigan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JS. Community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Reinforcement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Training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CRAFT: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Engaging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unmotivated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drug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J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Subst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Abuse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1999;10(3):291-308.</w:t>
      </w:r>
      <w:r w:rsidRPr="00FE072C">
        <w:rPr>
          <w:rFonts w:ascii="Verdana" w:eastAsia="Times New Roman" w:hAnsi="Verdana" w:cs="Times New Roman"/>
          <w:color w:val="141040"/>
          <w:sz w:val="10"/>
        </w:rPr>
        <w:t> 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"http://www.ncbi.nlm.nih.gov/pubmed/10689661"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Dennis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M,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Godley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SH,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Diamond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G,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Cannabis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(CYT)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study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findings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from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two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randomized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trials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 J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Subst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Abuse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Treat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2004;27(3):197-213.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"http://www.ncbi.nlm.nih.gov/pubmed/15501373"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Santisteban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DA,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Szapocznik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J,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Perez-Vidal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Efficacy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intervention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engaging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families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some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variables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may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contribute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differential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effectiveness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J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Psychology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1996; 10:35–44.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"http://psycnet.apa.org/psycinfo/1996-02654-004"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Donohue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B,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Azrin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N, Allen DN,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Behavior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review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intervention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components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applicability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Behavior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Modification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2009;33:495-519.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"http://bmo.sagepub.com/content/33/5/495.abstract"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Szapocznik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J,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Kurtines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WM,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Foote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Conjoint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versus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one-person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Some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evidence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effectiveness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conducting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through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one person.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 J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Consult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Clin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Psychol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1986;54: 395-397.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"http://psycnet.apa.org/journals/ccp/54/3/395/"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Robbins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MS,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Feaster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DJ,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Horigian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VE,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Brief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Strategic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versus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as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Usual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Results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Multisite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Randomized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Trial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Adolescents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 J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Consul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Clin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Psychol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2011;79(6):713-727.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"http://www.ncbi.nlm.nih.gov/pmc/articles/PMC3440775/"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free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online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Bertrand K,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Richer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I,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Brunelle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N, et al.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for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adolescents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how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are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factors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related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to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change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? J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Psychoactive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Drugs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2013;45(1):28-38.</w:t>
      </w:r>
      <w:r w:rsidRPr="00FE072C">
        <w:rPr>
          <w:rFonts w:ascii="Verdana" w:eastAsia="Times New Roman" w:hAnsi="Verdana" w:cs="Times New Roman"/>
          <w:color w:val="141040"/>
          <w:sz w:val="10"/>
        </w:rPr>
        <w:t> 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"http://www.ncbi.nlm.nih.gov/pubmed/23662329"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Waldron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HB. Adolescent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therapy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outcome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review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randomized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trials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. In: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Ollendick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TH,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Prinz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RJ (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eds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.)</w:t>
      </w:r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Advances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in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Clinical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Child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Psychology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 New York: Plenum Press, 1997, pp. 199-234.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Hornberger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S, Smith SL.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involvement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adolescent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abuse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treatment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recovery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do we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know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?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What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lies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ahead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? 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Children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&amp;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Youth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Services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Review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 </w:t>
      </w:r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2011;33(1): S70-S76.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"http://dx.doi.org/10.1016/j.childyouth.2011.06.016"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FE072C" w:rsidRPr="00FE072C" w:rsidRDefault="00FE072C" w:rsidP="00FE072C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141040"/>
          <w:sz w:val="12"/>
          <w:szCs w:val="12"/>
        </w:rPr>
      </w:pP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Velleman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RDB,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Templeton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LJ,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Copello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AG.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role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the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preventing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intervening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substance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and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misuse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: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comprehensive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review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of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family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interventions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,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with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a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focus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on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young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people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. 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Drug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&amp;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Alcohol</w:t>
      </w:r>
      <w:proofErr w:type="spellEnd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i/>
          <w:iCs/>
          <w:color w:val="141040"/>
          <w:sz w:val="12"/>
        </w:rPr>
        <w:t>Review</w:t>
      </w:r>
      <w:proofErr w:type="spellEnd"/>
      <w:r w:rsidRPr="00FE072C">
        <w:rPr>
          <w:rFonts w:ascii="Verdana" w:eastAsia="Times New Roman" w:hAnsi="Verdana" w:cs="Times New Roman"/>
          <w:color w:val="141040"/>
          <w:sz w:val="12"/>
          <w:szCs w:val="12"/>
        </w:rPr>
        <w:t> 2005;24(2): 93-109. </w:t>
      </w:r>
      <w:r w:rsidRPr="00FE072C">
        <w:rPr>
          <w:rFonts w:ascii="Verdana" w:eastAsia="Times New Roman" w:hAnsi="Verdana" w:cs="Times New Roman"/>
          <w:color w:val="141040"/>
          <w:sz w:val="10"/>
        </w:rPr>
        <w:t>[</w:t>
      </w:r>
      <w:proofErr w:type="spellStart"/>
      <w:r w:rsidRPr="00FE072C">
        <w:rPr>
          <w:rFonts w:ascii="Verdana" w:eastAsia="Times New Roman" w:hAnsi="Verdana" w:cs="Times New Roman"/>
          <w:color w:val="141040"/>
          <w:sz w:val="10"/>
        </w:rPr>
        <w:fldChar w:fldCharType="begin"/>
      </w:r>
      <w:r w:rsidRPr="00FE072C">
        <w:rPr>
          <w:rFonts w:ascii="Verdana" w:eastAsia="Times New Roman" w:hAnsi="Verdana" w:cs="Times New Roman"/>
          <w:color w:val="141040"/>
          <w:sz w:val="10"/>
        </w:rPr>
        <w:instrText xml:space="preserve"> HYPERLINK "http://www.ncbi.nlm.nih.gov/pubmed/16076580" \t "_blank" </w:instrText>
      </w:r>
      <w:r w:rsidRPr="00FE072C">
        <w:rPr>
          <w:rFonts w:ascii="Verdana" w:eastAsia="Times New Roman" w:hAnsi="Verdana" w:cs="Times New Roman"/>
          <w:color w:val="141040"/>
          <w:sz w:val="10"/>
        </w:rPr>
        <w:fldChar w:fldCharType="separate"/>
      </w:r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view</w:t>
      </w:r>
      <w:proofErr w:type="spellEnd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 xml:space="preserve"> </w:t>
      </w:r>
      <w:proofErr w:type="spellStart"/>
      <w:r w:rsidRPr="00FE072C">
        <w:rPr>
          <w:rFonts w:ascii="Verdana" w:eastAsia="Times New Roman" w:hAnsi="Verdana" w:cs="Times New Roman"/>
          <w:color w:val="755755"/>
          <w:sz w:val="10"/>
          <w:u w:val="single"/>
        </w:rPr>
        <w:t>abstract</w:t>
      </w:r>
      <w:proofErr w:type="spellEnd"/>
      <w:r w:rsidRPr="00FE072C">
        <w:rPr>
          <w:rFonts w:ascii="Verdana" w:eastAsia="Times New Roman" w:hAnsi="Verdana" w:cs="Times New Roman"/>
          <w:color w:val="141040"/>
          <w:sz w:val="10"/>
        </w:rPr>
        <w:fldChar w:fldCharType="end"/>
      </w:r>
      <w:r w:rsidRPr="00FE072C">
        <w:rPr>
          <w:rFonts w:ascii="Verdana" w:eastAsia="Times New Roman" w:hAnsi="Verdana" w:cs="Times New Roman"/>
          <w:color w:val="141040"/>
          <w:sz w:val="10"/>
        </w:rPr>
        <w:t>]</w:t>
      </w:r>
    </w:p>
    <w:p w:rsidR="002D395C" w:rsidRDefault="002D395C"/>
    <w:sectPr w:rsidR="002D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AD0"/>
    <w:multiLevelType w:val="multilevel"/>
    <w:tmpl w:val="B2B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869D0"/>
    <w:multiLevelType w:val="multilevel"/>
    <w:tmpl w:val="3E2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77798"/>
    <w:multiLevelType w:val="multilevel"/>
    <w:tmpl w:val="A58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A5909"/>
    <w:multiLevelType w:val="multilevel"/>
    <w:tmpl w:val="D86E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F37C2"/>
    <w:multiLevelType w:val="multilevel"/>
    <w:tmpl w:val="74B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80D47"/>
    <w:multiLevelType w:val="multilevel"/>
    <w:tmpl w:val="F87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E2F61"/>
    <w:multiLevelType w:val="multilevel"/>
    <w:tmpl w:val="A024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072C"/>
    <w:rsid w:val="002D395C"/>
    <w:rsid w:val="00FE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orange">
    <w:name w:val="headerorange"/>
    <w:basedOn w:val="Normalny"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072C"/>
    <w:rPr>
      <w:b/>
      <w:bCs/>
    </w:rPr>
  </w:style>
  <w:style w:type="character" w:styleId="Uwydatnienie">
    <w:name w:val="Emphasis"/>
    <w:basedOn w:val="Domylnaczcionkaakapitu"/>
    <w:uiPriority w:val="20"/>
    <w:qFormat/>
    <w:rsid w:val="00FE072C"/>
    <w:rPr>
      <w:i/>
      <w:iCs/>
    </w:rPr>
  </w:style>
  <w:style w:type="paragraph" w:customStyle="1" w:styleId="smalltext">
    <w:name w:val="smalltext"/>
    <w:basedOn w:val="Normalny"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E072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headerpurple">
    <w:name w:val="medheaderpurple"/>
    <w:basedOn w:val="Domylnaczcionkaakapitu"/>
    <w:rsid w:val="00FE072C"/>
  </w:style>
  <w:style w:type="paragraph" w:customStyle="1" w:styleId="headerbrownunderline">
    <w:name w:val="headerbrownunderline"/>
    <w:basedOn w:val="Normalny"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rangeunderline">
    <w:name w:val="headerorangeunderline"/>
    <w:basedOn w:val="Normalny"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rown1">
    <w:name w:val="headerbrown1"/>
    <w:basedOn w:val="Normalny"/>
    <w:rsid w:val="00FE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1">
    <w:name w:val="smalltext1"/>
    <w:basedOn w:val="Domylnaczcionkaakapitu"/>
    <w:rsid w:val="00FE072C"/>
  </w:style>
  <w:style w:type="paragraph" w:styleId="Tekstdymka">
    <w:name w:val="Balloon Text"/>
    <w:basedOn w:val="Normalny"/>
    <w:link w:val="TekstdymkaZnak"/>
    <w:uiPriority w:val="99"/>
    <w:semiHidden/>
    <w:unhideWhenUsed/>
    <w:rsid w:val="00FE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991">
          <w:marLeft w:val="100"/>
          <w:marRight w:val="10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  <w:div w:id="9527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adaiclearinghouse.org/downloads/TIP-39-Substance-Abuse-Treatment-and-Family-Therapy-55.pdf" TargetMode="External"/><Relationship Id="rId18" Type="http://schemas.openxmlformats.org/officeDocument/2006/relationships/hyperlink" Target="http://adaiclearinghouse.org/downloads/Family-Therapy-Can-Help-For-People-In-Recovery-From-Mental-Illness-Or-Addiction-518.pdf" TargetMode="External"/><Relationship Id="rId26" Type="http://schemas.openxmlformats.org/officeDocument/2006/relationships/hyperlink" Target="http://lib.adai.washington.edu/dbtw-wpd/exec/dbtwpub.dll?BU=http%3A//lib.adai.washington.edu/ebpsearch.htm&amp;TN=EBP&amp;QY=Find+AccessNo=73&amp;RF=Full+Display&amp;DF=Full+Display&amp;NP=3&amp;RL=1&amp;DL=0&amp;XC=/dbtw-wpd/exec/dbtwpub.dll&amp;AC=QBE_QUERY&amp;CS=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3.jpeg"/><Relationship Id="rId12" Type="http://schemas.openxmlformats.org/officeDocument/2006/relationships/hyperlink" Target="https://store.samhsa.gov/product/Matrix-Intensive-Outpatient-Treatment-for-People-with-Stimulant-Use-Disorders-Counselor-s-Family-Education-Manual-w-CD/SMA15-4153" TargetMode="External"/><Relationship Id="rId17" Type="http://schemas.openxmlformats.org/officeDocument/2006/relationships/hyperlink" Target="http://attcppwtools.org/LearnASkill/Documentary.aspx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store.samhsa.gov/product/Alcohol-and-Drug-Addiction-Happens-in-the-Best-of-Families/SMA12-4159" TargetMode="External"/><Relationship Id="rId20" Type="http://schemas.openxmlformats.org/officeDocument/2006/relationships/hyperlink" Target="http://lib.adai.washington.edu/dbtw-wpd/exec/dbtwpub.dll?BU=http%3A//lib.adai.washington.edu/ebpsearch.htm&amp;TN=EBP&amp;QY=Find+AccessNo=2&amp;RF=Full+Display&amp;DF=Full+Display&amp;NP=3&amp;RL=1&amp;DL=0&amp;XC=/dbtw-wpd/exec/dbtwpub.dll&amp;AC=QBE_QUERY&amp;CS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iatx.net/promisingpractices/Show.aspx?ID=66&amp;SPNID=32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recoverymonth.gov/road-to-recovery/2016-episodes" TargetMode="External"/><Relationship Id="rId23" Type="http://schemas.openxmlformats.org/officeDocument/2006/relationships/hyperlink" Target="http://lib.adai.washington.edu/dbtw-wpd/exec/dbtwpub.dll?BU=http%3A//lib.adai.washington.edu/ebpsearch.htm&amp;TN=EBP&amp;QY=Find+AccessNo=2&amp;RF=Full+Display&amp;DF=Full+Display&amp;NP=3&amp;RL=1&amp;DL=0&amp;XC=/dbtw-wpd/exec/dbtwpub.dll&amp;AC=QBE_QUERY&amp;CS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dai.uw.edu/retentiontoolkit/docs/DBHRpolicy.pdf" TargetMode="External"/><Relationship Id="rId19" Type="http://schemas.openxmlformats.org/officeDocument/2006/relationships/hyperlink" Target="http://store.samhsa.gov/product/What-Is-Substance-Abuse-Treatment-A-Booklet-for-Families/SMA14-41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recoverymonth.gov/road-to-recovery/tv-series/september-2016-building-family-resiliency" TargetMode="External"/><Relationship Id="rId22" Type="http://schemas.openxmlformats.org/officeDocument/2006/relationships/hyperlink" Target="http://lib.adai.washington.edu/dbtw-wpd/exec/dbtwpub.dll?BU=http%3A//lib.adai.washington.edu/ebpsearch.htm&amp;TN=EBP&amp;QY=Find+AccessNo=72&amp;RF=Full+Display&amp;DF=Full+Display&amp;NP=3&amp;RL=1&amp;DL=0&amp;XC=/dbtw-wpd/exec/dbtwpub.dll&amp;AC=QBE_QUERY&amp;CS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2025-10-01T08:53:00Z</dcterms:created>
  <dcterms:modified xsi:type="dcterms:W3CDTF">2025-10-01T08:53:00Z</dcterms:modified>
</cp:coreProperties>
</file>